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4A" w:rsidRPr="00A33DBC" w:rsidRDefault="00C1287B" w:rsidP="00C7599C">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In ac</w:t>
      </w:r>
      <w:r w:rsidRPr="00A33DBC">
        <w:rPr>
          <w:rFonts w:ascii="Times New Roman" w:hAnsi="Times New Roman" w:cs="Times New Roman"/>
          <w:sz w:val="24"/>
          <w:szCs w:val="24"/>
        </w:rPr>
        <w:t>cordance with Mississippi Regulation</w:t>
      </w:r>
      <w:r w:rsidR="00FA4E4A" w:rsidRPr="00A33DBC">
        <w:rPr>
          <w:rFonts w:ascii="Times New Roman" w:hAnsi="Times New Roman" w:cs="Times New Roman"/>
          <w:sz w:val="24"/>
          <w:szCs w:val="24"/>
        </w:rPr>
        <w:t>s</w:t>
      </w:r>
      <w:r w:rsidRPr="00A33DBC">
        <w:rPr>
          <w:rFonts w:ascii="Times New Roman" w:hAnsi="Times New Roman" w:cs="Times New Roman"/>
          <w:sz w:val="24"/>
          <w:szCs w:val="24"/>
        </w:rPr>
        <w:t xml:space="preserve"> Title 13: Gaming, Part 3: Operations, Chapter 1: </w:t>
      </w:r>
      <w:r w:rsidR="00FA4E4A" w:rsidRPr="00A33DBC">
        <w:rPr>
          <w:rFonts w:ascii="Times New Roman" w:hAnsi="Times New Roman" w:cs="Times New Roman"/>
          <w:sz w:val="24"/>
          <w:szCs w:val="24"/>
        </w:rPr>
        <w:t xml:space="preserve">In </w:t>
      </w:r>
      <w:r w:rsidRPr="00A33DBC">
        <w:rPr>
          <w:rFonts w:ascii="Times New Roman" w:hAnsi="Times New Roman" w:cs="Times New Roman"/>
          <w:sz w:val="24"/>
          <w:szCs w:val="24"/>
        </w:rPr>
        <w:t xml:space="preserve">General, Rule 1.13: Minimum Bankroll Requirements, attached </w:t>
      </w:r>
      <w:r w:rsidR="00FA4E4A" w:rsidRPr="00A33DBC">
        <w:rPr>
          <w:rFonts w:ascii="Times New Roman" w:hAnsi="Times New Roman" w:cs="Times New Roman"/>
          <w:sz w:val="24"/>
          <w:szCs w:val="24"/>
        </w:rPr>
        <w:t xml:space="preserve">are </w:t>
      </w:r>
      <w:r w:rsidRPr="00A33DBC">
        <w:rPr>
          <w:rFonts w:ascii="Times New Roman" w:hAnsi="Times New Roman" w:cs="Times New Roman"/>
          <w:sz w:val="24"/>
          <w:szCs w:val="24"/>
        </w:rPr>
        <w:t xml:space="preserve">the bankroll worksheets which are used by the Mississippi Gaming Commission.  </w:t>
      </w:r>
    </w:p>
    <w:p w:rsidR="00FA4E4A" w:rsidRPr="00A33DBC" w:rsidRDefault="00FA4E4A" w:rsidP="00C7599C">
      <w:pPr>
        <w:spacing w:after="0" w:line="240" w:lineRule="auto"/>
        <w:jc w:val="both"/>
        <w:rPr>
          <w:rFonts w:ascii="Times New Roman" w:hAnsi="Times New Roman" w:cs="Times New Roman"/>
          <w:sz w:val="24"/>
          <w:szCs w:val="24"/>
        </w:rPr>
      </w:pPr>
    </w:p>
    <w:p w:rsidR="00C1287B" w:rsidRPr="00A33DBC" w:rsidRDefault="00FA4E4A" w:rsidP="00C7599C">
      <w:pPr>
        <w:spacing w:after="0" w:line="240" w:lineRule="auto"/>
        <w:jc w:val="both"/>
        <w:rPr>
          <w:rFonts w:ascii="Times New Roman" w:hAnsi="Times New Roman" w:cs="Times New Roman"/>
          <w:sz w:val="24"/>
          <w:szCs w:val="24"/>
        </w:rPr>
      </w:pPr>
      <w:r w:rsidRPr="00A33DBC">
        <w:rPr>
          <w:rFonts w:ascii="Times New Roman" w:hAnsi="Times New Roman" w:cs="Times New Roman"/>
          <w:sz w:val="24"/>
          <w:szCs w:val="24"/>
        </w:rPr>
        <w:t>T</w:t>
      </w:r>
      <w:r w:rsidR="00C1287B" w:rsidRPr="00A33DBC">
        <w:rPr>
          <w:rFonts w:ascii="Times New Roman" w:hAnsi="Times New Roman" w:cs="Times New Roman"/>
          <w:sz w:val="24"/>
          <w:szCs w:val="24"/>
        </w:rPr>
        <w:t xml:space="preserve">he “immediate exposure” column </w:t>
      </w:r>
      <w:r w:rsidRPr="00A33DBC">
        <w:rPr>
          <w:rFonts w:ascii="Times New Roman" w:hAnsi="Times New Roman" w:cs="Times New Roman"/>
          <w:sz w:val="24"/>
          <w:szCs w:val="24"/>
        </w:rPr>
        <w:t xml:space="preserve">of Worksheet #1 </w:t>
      </w:r>
      <w:r w:rsidR="00C1287B" w:rsidRPr="00A33DBC">
        <w:rPr>
          <w:rFonts w:ascii="Times New Roman" w:hAnsi="Times New Roman" w:cs="Times New Roman"/>
          <w:sz w:val="24"/>
          <w:szCs w:val="24"/>
        </w:rPr>
        <w:t>function</w:t>
      </w:r>
      <w:r w:rsidRPr="00A33DBC">
        <w:rPr>
          <w:rFonts w:ascii="Times New Roman" w:hAnsi="Times New Roman" w:cs="Times New Roman"/>
          <w:sz w:val="24"/>
          <w:szCs w:val="24"/>
        </w:rPr>
        <w:t>s</w:t>
      </w:r>
      <w:r w:rsidR="00C1287B" w:rsidRPr="00A33DBC">
        <w:rPr>
          <w:rFonts w:ascii="Times New Roman" w:hAnsi="Times New Roman" w:cs="Times New Roman"/>
          <w:sz w:val="24"/>
          <w:szCs w:val="24"/>
        </w:rPr>
        <w:t xml:space="preserve"> as </w:t>
      </w:r>
      <w:r w:rsidRPr="00A33DBC">
        <w:rPr>
          <w:rFonts w:ascii="Times New Roman" w:hAnsi="Times New Roman" w:cs="Times New Roman"/>
          <w:sz w:val="24"/>
          <w:szCs w:val="24"/>
        </w:rPr>
        <w:t xml:space="preserve">a solvency </w:t>
      </w:r>
      <w:r w:rsidR="00C1287B" w:rsidRPr="00A33DBC">
        <w:rPr>
          <w:rFonts w:ascii="Times New Roman" w:hAnsi="Times New Roman" w:cs="Times New Roman"/>
          <w:sz w:val="24"/>
          <w:szCs w:val="24"/>
        </w:rPr>
        <w:t xml:space="preserve">analysis </w:t>
      </w:r>
      <w:r w:rsidRPr="00A33DBC">
        <w:rPr>
          <w:rFonts w:ascii="Times New Roman" w:hAnsi="Times New Roman" w:cs="Times New Roman"/>
          <w:sz w:val="24"/>
          <w:szCs w:val="24"/>
        </w:rPr>
        <w:t xml:space="preserve">based on </w:t>
      </w:r>
      <w:r w:rsidR="00C1287B" w:rsidRPr="00A33DBC">
        <w:rPr>
          <w:rFonts w:ascii="Times New Roman" w:hAnsi="Times New Roman" w:cs="Times New Roman"/>
          <w:sz w:val="24"/>
          <w:szCs w:val="24"/>
        </w:rPr>
        <w:t>current cash availability</w:t>
      </w:r>
      <w:r w:rsidRPr="00A33DBC">
        <w:rPr>
          <w:rFonts w:ascii="Times New Roman" w:hAnsi="Times New Roman" w:cs="Times New Roman"/>
          <w:sz w:val="24"/>
          <w:szCs w:val="24"/>
        </w:rPr>
        <w:t>.</w:t>
      </w:r>
      <w:r w:rsidR="00C1287B" w:rsidRPr="00A33DBC">
        <w:rPr>
          <w:rFonts w:ascii="Times New Roman" w:hAnsi="Times New Roman" w:cs="Times New Roman"/>
          <w:sz w:val="24"/>
          <w:szCs w:val="24"/>
        </w:rPr>
        <w:t xml:space="preserve"> </w:t>
      </w:r>
      <w:r w:rsidRPr="00A33DBC">
        <w:rPr>
          <w:rFonts w:ascii="Times New Roman" w:hAnsi="Times New Roman" w:cs="Times New Roman"/>
          <w:sz w:val="24"/>
          <w:szCs w:val="24"/>
        </w:rPr>
        <w:t xml:space="preserve"> This amount reflects </w:t>
      </w:r>
      <w:r w:rsidR="00C1287B" w:rsidRPr="00A33DBC">
        <w:rPr>
          <w:rFonts w:ascii="Times New Roman" w:hAnsi="Times New Roman" w:cs="Times New Roman"/>
          <w:sz w:val="24"/>
          <w:szCs w:val="24"/>
        </w:rPr>
        <w:t>total cash on hand, less the games and slot machine cash requirement.</w:t>
      </w:r>
    </w:p>
    <w:p w:rsidR="00C1287B" w:rsidRPr="00A33DBC" w:rsidRDefault="00C1287B" w:rsidP="00C7599C">
      <w:pPr>
        <w:spacing w:after="0" w:line="240" w:lineRule="auto"/>
        <w:jc w:val="both"/>
        <w:rPr>
          <w:rFonts w:ascii="Times New Roman" w:hAnsi="Times New Roman" w:cs="Times New Roman"/>
          <w:sz w:val="24"/>
          <w:szCs w:val="24"/>
        </w:rPr>
      </w:pPr>
    </w:p>
    <w:p w:rsidR="000D7C62" w:rsidRPr="00A33DBC" w:rsidRDefault="00C1287B" w:rsidP="00C7599C">
      <w:pPr>
        <w:spacing w:after="0" w:line="240" w:lineRule="auto"/>
        <w:jc w:val="both"/>
        <w:rPr>
          <w:rFonts w:ascii="Times New Roman" w:hAnsi="Times New Roman" w:cs="Times New Roman"/>
          <w:sz w:val="24"/>
          <w:szCs w:val="24"/>
        </w:rPr>
      </w:pPr>
      <w:r w:rsidRPr="00A33DBC">
        <w:rPr>
          <w:rFonts w:ascii="Times New Roman" w:hAnsi="Times New Roman" w:cs="Times New Roman"/>
          <w:sz w:val="24"/>
          <w:szCs w:val="24"/>
        </w:rPr>
        <w:t xml:space="preserve">Cash available for the “cash on premises” figure is restricted to cash and cash equivalents which are readily available for customer payouts.  </w:t>
      </w:r>
      <w:r w:rsidR="00FA4E4A" w:rsidRPr="00A33DBC">
        <w:rPr>
          <w:rFonts w:ascii="Times New Roman" w:hAnsi="Times New Roman" w:cs="Times New Roman"/>
          <w:sz w:val="24"/>
          <w:szCs w:val="24"/>
        </w:rPr>
        <w:t>This amount includes all U.S. currency and coin on hand in all casino cages</w:t>
      </w:r>
      <w:r w:rsidR="00E143E9" w:rsidRPr="00A33DBC">
        <w:rPr>
          <w:rFonts w:ascii="Times New Roman" w:hAnsi="Times New Roman" w:cs="Times New Roman"/>
          <w:sz w:val="24"/>
          <w:szCs w:val="24"/>
        </w:rPr>
        <w:t>,</w:t>
      </w:r>
      <w:r w:rsidR="000D7C62" w:rsidRPr="00A33DBC">
        <w:rPr>
          <w:rFonts w:ascii="Times New Roman" w:hAnsi="Times New Roman" w:cs="Times New Roman"/>
          <w:sz w:val="24"/>
          <w:szCs w:val="24"/>
        </w:rPr>
        <w:t xml:space="preserve"> count rooms</w:t>
      </w:r>
      <w:r w:rsidR="0072531C" w:rsidRPr="00A33DBC">
        <w:rPr>
          <w:rFonts w:ascii="Times New Roman" w:hAnsi="Times New Roman" w:cs="Times New Roman"/>
          <w:sz w:val="24"/>
          <w:szCs w:val="24"/>
        </w:rPr>
        <w:t xml:space="preserve"> (</w:t>
      </w:r>
      <w:r w:rsidR="00B85EA9" w:rsidRPr="00A33DBC">
        <w:rPr>
          <w:rFonts w:ascii="Times New Roman" w:hAnsi="Times New Roman" w:cs="Times New Roman"/>
          <w:sz w:val="24"/>
          <w:szCs w:val="24"/>
        </w:rPr>
        <w:t>verified revenue</w:t>
      </w:r>
      <w:r w:rsidR="0072531C" w:rsidRPr="00A33DBC">
        <w:rPr>
          <w:rFonts w:ascii="Times New Roman" w:hAnsi="Times New Roman" w:cs="Times New Roman"/>
          <w:sz w:val="24"/>
          <w:szCs w:val="24"/>
        </w:rPr>
        <w:t>)</w:t>
      </w:r>
      <w:r w:rsidR="000D7C62" w:rsidRPr="00A33DBC">
        <w:rPr>
          <w:rFonts w:ascii="Times New Roman" w:hAnsi="Times New Roman" w:cs="Times New Roman"/>
          <w:sz w:val="24"/>
          <w:szCs w:val="24"/>
        </w:rPr>
        <w:t xml:space="preserve">, coin vaults or </w:t>
      </w:r>
      <w:r w:rsidR="00E143E9" w:rsidRPr="00A33DBC">
        <w:rPr>
          <w:rFonts w:ascii="Times New Roman" w:hAnsi="Times New Roman" w:cs="Times New Roman"/>
          <w:sz w:val="24"/>
          <w:szCs w:val="24"/>
        </w:rPr>
        <w:t xml:space="preserve">coin </w:t>
      </w:r>
      <w:r w:rsidR="000D7C62" w:rsidRPr="00A33DBC">
        <w:rPr>
          <w:rFonts w:ascii="Times New Roman" w:hAnsi="Times New Roman" w:cs="Times New Roman"/>
          <w:sz w:val="24"/>
          <w:szCs w:val="24"/>
        </w:rPr>
        <w:t xml:space="preserve">rooms, change booths, </w:t>
      </w:r>
      <w:r w:rsidR="004D6F9D" w:rsidRPr="00A33DBC">
        <w:rPr>
          <w:rFonts w:ascii="Times New Roman" w:hAnsi="Times New Roman" w:cs="Times New Roman"/>
          <w:sz w:val="24"/>
          <w:szCs w:val="24"/>
        </w:rPr>
        <w:t>slot, keno</w:t>
      </w:r>
      <w:r w:rsidR="004D6F9D" w:rsidRPr="003452EC">
        <w:rPr>
          <w:rFonts w:ascii="Times New Roman" w:hAnsi="Times New Roman" w:cs="Times New Roman"/>
          <w:sz w:val="24"/>
          <w:szCs w:val="24"/>
        </w:rPr>
        <w:t>,</w:t>
      </w:r>
      <w:r w:rsidR="00367344" w:rsidRPr="003452EC">
        <w:rPr>
          <w:rFonts w:ascii="Times New Roman" w:hAnsi="Times New Roman" w:cs="Times New Roman"/>
          <w:sz w:val="24"/>
          <w:szCs w:val="24"/>
        </w:rPr>
        <w:t xml:space="preserve"> books,</w:t>
      </w:r>
      <w:r w:rsidR="004D6F9D" w:rsidRPr="00A33DBC">
        <w:rPr>
          <w:rFonts w:ascii="Times New Roman" w:hAnsi="Times New Roman" w:cs="Times New Roman"/>
          <w:sz w:val="24"/>
          <w:szCs w:val="24"/>
        </w:rPr>
        <w:t xml:space="preserve"> and poker banks, </w:t>
      </w:r>
      <w:r w:rsidR="000D7C62" w:rsidRPr="00A33DBC">
        <w:rPr>
          <w:rFonts w:ascii="Times New Roman" w:hAnsi="Times New Roman" w:cs="Times New Roman"/>
          <w:sz w:val="24"/>
          <w:szCs w:val="24"/>
        </w:rPr>
        <w:t xml:space="preserve">ticket redemption kiosks, all non-gaming venues, cash maintained at casino credit windows and jackpot payout windows, foreign chips redeemable at other casinos, foreign currency, </w:t>
      </w:r>
      <w:r w:rsidR="004D6F9D" w:rsidRPr="00A33DBC">
        <w:rPr>
          <w:rFonts w:ascii="Times New Roman" w:hAnsi="Times New Roman" w:cs="Times New Roman"/>
          <w:sz w:val="24"/>
          <w:szCs w:val="24"/>
        </w:rPr>
        <w:t xml:space="preserve">personal and payroll </w:t>
      </w:r>
      <w:r w:rsidR="00934752" w:rsidRPr="00A33DBC">
        <w:rPr>
          <w:rFonts w:ascii="Times New Roman" w:hAnsi="Times New Roman" w:cs="Times New Roman"/>
          <w:sz w:val="24"/>
          <w:szCs w:val="24"/>
        </w:rPr>
        <w:t xml:space="preserve">checks from patrons, </w:t>
      </w:r>
      <w:r w:rsidR="000D7C62" w:rsidRPr="00A33DBC">
        <w:rPr>
          <w:rFonts w:ascii="Times New Roman" w:hAnsi="Times New Roman" w:cs="Times New Roman"/>
          <w:sz w:val="24"/>
          <w:szCs w:val="24"/>
        </w:rPr>
        <w:t>and traveler</w:t>
      </w:r>
      <w:r w:rsidR="004D6F9D" w:rsidRPr="00A33DBC">
        <w:rPr>
          <w:rFonts w:ascii="Times New Roman" w:hAnsi="Times New Roman" w:cs="Times New Roman"/>
          <w:sz w:val="24"/>
          <w:szCs w:val="24"/>
        </w:rPr>
        <w:t>’</w:t>
      </w:r>
      <w:r w:rsidR="000D7C62" w:rsidRPr="00A33DBC">
        <w:rPr>
          <w:rFonts w:ascii="Times New Roman" w:hAnsi="Times New Roman" w:cs="Times New Roman"/>
          <w:sz w:val="24"/>
          <w:szCs w:val="24"/>
        </w:rPr>
        <w:t>s checks/</w:t>
      </w:r>
      <w:r w:rsidR="004D6F9D" w:rsidRPr="00A33DBC">
        <w:rPr>
          <w:rFonts w:ascii="Times New Roman" w:hAnsi="Times New Roman" w:cs="Times New Roman"/>
          <w:sz w:val="24"/>
          <w:szCs w:val="24"/>
        </w:rPr>
        <w:t>cashier’s checks/</w:t>
      </w:r>
      <w:r w:rsidR="000D7C62" w:rsidRPr="00A33DBC">
        <w:rPr>
          <w:rFonts w:ascii="Times New Roman" w:hAnsi="Times New Roman" w:cs="Times New Roman"/>
          <w:sz w:val="24"/>
          <w:szCs w:val="24"/>
        </w:rPr>
        <w:t>money orders.  All of the licensee’s chips and tokens</w:t>
      </w:r>
      <w:r w:rsidR="00E143E9" w:rsidRPr="00A33DBC">
        <w:rPr>
          <w:rFonts w:ascii="Times New Roman" w:hAnsi="Times New Roman" w:cs="Times New Roman"/>
          <w:sz w:val="24"/>
          <w:szCs w:val="24"/>
        </w:rPr>
        <w:t>,</w:t>
      </w:r>
      <w:r w:rsidR="000D7C62" w:rsidRPr="00A33DBC">
        <w:rPr>
          <w:rFonts w:ascii="Times New Roman" w:hAnsi="Times New Roman" w:cs="Times New Roman"/>
          <w:sz w:val="24"/>
          <w:szCs w:val="24"/>
        </w:rPr>
        <w:t xml:space="preserve"> markers (including returned items in collections)</w:t>
      </w:r>
      <w:r w:rsidR="00E143E9" w:rsidRPr="00A33DBC">
        <w:rPr>
          <w:rFonts w:ascii="Times New Roman" w:hAnsi="Times New Roman" w:cs="Times New Roman"/>
          <w:sz w:val="24"/>
          <w:szCs w:val="24"/>
        </w:rPr>
        <w:t xml:space="preserve">, </w:t>
      </w:r>
      <w:r w:rsidR="004D6F9D" w:rsidRPr="00A33DBC">
        <w:rPr>
          <w:rFonts w:ascii="Times New Roman" w:hAnsi="Times New Roman" w:cs="Times New Roman"/>
          <w:sz w:val="24"/>
          <w:szCs w:val="24"/>
        </w:rPr>
        <w:t xml:space="preserve">deposits held on behalf of patrons (front money and safekeeping), </w:t>
      </w:r>
      <w:r w:rsidR="00E143E9" w:rsidRPr="00A33DBC">
        <w:rPr>
          <w:rFonts w:ascii="Times New Roman" w:hAnsi="Times New Roman" w:cs="Times New Roman"/>
          <w:sz w:val="24"/>
          <w:szCs w:val="24"/>
        </w:rPr>
        <w:t>and coin in slot machine hoppers</w:t>
      </w:r>
      <w:r w:rsidR="000D7C62" w:rsidRPr="00A33DBC">
        <w:rPr>
          <w:rFonts w:ascii="Times New Roman" w:hAnsi="Times New Roman" w:cs="Times New Roman"/>
          <w:sz w:val="24"/>
          <w:szCs w:val="24"/>
        </w:rPr>
        <w:t xml:space="preserve"> should </w:t>
      </w:r>
      <w:r w:rsidR="000D7C62" w:rsidRPr="003452EC">
        <w:rPr>
          <w:rFonts w:ascii="Times New Roman" w:hAnsi="Times New Roman" w:cs="Times New Roman"/>
          <w:sz w:val="24"/>
          <w:szCs w:val="24"/>
          <w:u w:val="single"/>
        </w:rPr>
        <w:t>not</w:t>
      </w:r>
      <w:r w:rsidR="000D7C62" w:rsidRPr="00A33DBC">
        <w:rPr>
          <w:rFonts w:ascii="Times New Roman" w:hAnsi="Times New Roman" w:cs="Times New Roman"/>
          <w:sz w:val="24"/>
          <w:szCs w:val="24"/>
        </w:rPr>
        <w:t xml:space="preserve"> be included in this calculation.  </w:t>
      </w:r>
    </w:p>
    <w:p w:rsidR="000D7C62" w:rsidRPr="00A33DBC" w:rsidRDefault="000D7C62" w:rsidP="00C7599C">
      <w:pPr>
        <w:spacing w:after="0" w:line="240" w:lineRule="auto"/>
        <w:jc w:val="both"/>
        <w:rPr>
          <w:rFonts w:ascii="Times New Roman" w:hAnsi="Times New Roman" w:cs="Times New Roman"/>
          <w:sz w:val="24"/>
          <w:szCs w:val="24"/>
        </w:rPr>
      </w:pPr>
    </w:p>
    <w:p w:rsidR="00C1287B" w:rsidRPr="00A33DBC" w:rsidRDefault="00C1287B" w:rsidP="00C7599C">
      <w:pPr>
        <w:spacing w:after="0" w:line="240" w:lineRule="auto"/>
        <w:jc w:val="both"/>
        <w:rPr>
          <w:rFonts w:ascii="Times New Roman" w:hAnsi="Times New Roman" w:cs="Times New Roman"/>
          <w:sz w:val="24"/>
          <w:szCs w:val="24"/>
        </w:rPr>
      </w:pPr>
      <w:r w:rsidRPr="00A33DBC">
        <w:rPr>
          <w:rFonts w:ascii="Times New Roman" w:hAnsi="Times New Roman" w:cs="Times New Roman"/>
          <w:sz w:val="24"/>
          <w:szCs w:val="24"/>
        </w:rPr>
        <w:t xml:space="preserve">The “cash in banks” figure should reflect book balance, as opposed to the bank’s balance, to recognize any outstanding checks.  </w:t>
      </w:r>
      <w:r w:rsidR="004D6F9D" w:rsidRPr="00A33DBC">
        <w:rPr>
          <w:rFonts w:ascii="Times New Roman" w:hAnsi="Times New Roman" w:cs="Times New Roman"/>
          <w:sz w:val="24"/>
          <w:szCs w:val="24"/>
        </w:rPr>
        <w:t xml:space="preserve">Balances must include all bank fees incurred.  Book balances of bank accounts may be increased by the amount of checks prepared but not yet distributed, if it can be verified that the checks are still on property.  </w:t>
      </w:r>
      <w:r w:rsidRPr="00A33DBC">
        <w:rPr>
          <w:rFonts w:ascii="Times New Roman" w:hAnsi="Times New Roman" w:cs="Times New Roman"/>
          <w:sz w:val="24"/>
          <w:szCs w:val="24"/>
        </w:rPr>
        <w:t xml:space="preserve">Amounts in trust funds or other bank accounts which do not allow unrestricted access should </w:t>
      </w:r>
      <w:r w:rsidRPr="003452EC">
        <w:rPr>
          <w:rFonts w:ascii="Times New Roman" w:hAnsi="Times New Roman" w:cs="Times New Roman"/>
          <w:sz w:val="24"/>
          <w:szCs w:val="24"/>
          <w:u w:val="single"/>
        </w:rPr>
        <w:t>not</w:t>
      </w:r>
      <w:r w:rsidRPr="00A33DBC">
        <w:rPr>
          <w:rFonts w:ascii="Times New Roman" w:hAnsi="Times New Roman" w:cs="Times New Roman"/>
          <w:sz w:val="24"/>
          <w:szCs w:val="24"/>
        </w:rPr>
        <w:t xml:space="preserve"> be included in cash available</w:t>
      </w:r>
      <w:r w:rsidR="000D7C62" w:rsidRPr="00A33DBC">
        <w:rPr>
          <w:rFonts w:ascii="Times New Roman" w:hAnsi="Times New Roman" w:cs="Times New Roman"/>
          <w:sz w:val="24"/>
          <w:szCs w:val="24"/>
        </w:rPr>
        <w:t>.</w:t>
      </w:r>
    </w:p>
    <w:p w:rsidR="00C1287B" w:rsidRPr="00A33DBC" w:rsidRDefault="00C1287B" w:rsidP="00C7599C">
      <w:pPr>
        <w:spacing w:after="0" w:line="240" w:lineRule="auto"/>
        <w:jc w:val="both"/>
        <w:rPr>
          <w:rFonts w:ascii="Times New Roman" w:hAnsi="Times New Roman" w:cs="Times New Roman"/>
          <w:sz w:val="24"/>
          <w:szCs w:val="24"/>
        </w:rPr>
      </w:pPr>
    </w:p>
    <w:p w:rsidR="00DA34C0" w:rsidRPr="00A33DBC" w:rsidRDefault="00C1287B" w:rsidP="00C7599C">
      <w:pPr>
        <w:spacing w:after="0" w:line="240" w:lineRule="auto"/>
        <w:jc w:val="both"/>
        <w:rPr>
          <w:rFonts w:ascii="Times New Roman" w:hAnsi="Times New Roman" w:cs="Times New Roman"/>
          <w:sz w:val="24"/>
          <w:szCs w:val="24"/>
        </w:rPr>
      </w:pPr>
      <w:r w:rsidRPr="00A33DBC">
        <w:rPr>
          <w:rFonts w:ascii="Times New Roman" w:hAnsi="Times New Roman" w:cs="Times New Roman"/>
          <w:sz w:val="24"/>
          <w:szCs w:val="24"/>
        </w:rPr>
        <w:t>The “thirty-day exposure”</w:t>
      </w:r>
      <w:r w:rsidR="00307BED" w:rsidRPr="00A33DBC">
        <w:rPr>
          <w:rFonts w:ascii="Times New Roman" w:hAnsi="Times New Roman" w:cs="Times New Roman"/>
          <w:sz w:val="24"/>
          <w:szCs w:val="24"/>
        </w:rPr>
        <w:t xml:space="preserve"> </w:t>
      </w:r>
      <w:r w:rsidRPr="00A33DBC">
        <w:rPr>
          <w:rFonts w:ascii="Times New Roman" w:hAnsi="Times New Roman" w:cs="Times New Roman"/>
          <w:sz w:val="24"/>
          <w:szCs w:val="24"/>
        </w:rPr>
        <w:t xml:space="preserve">column </w:t>
      </w:r>
      <w:r w:rsidR="000D7C62" w:rsidRPr="00A33DBC">
        <w:rPr>
          <w:rFonts w:ascii="Times New Roman" w:hAnsi="Times New Roman" w:cs="Times New Roman"/>
          <w:sz w:val="24"/>
          <w:szCs w:val="24"/>
        </w:rPr>
        <w:t xml:space="preserve">of Worksheet #1 </w:t>
      </w:r>
      <w:r w:rsidRPr="00A33DBC">
        <w:rPr>
          <w:rFonts w:ascii="Times New Roman" w:hAnsi="Times New Roman" w:cs="Times New Roman"/>
          <w:sz w:val="24"/>
          <w:szCs w:val="24"/>
        </w:rPr>
        <w:t>fun</w:t>
      </w:r>
      <w:r w:rsidR="00307BED" w:rsidRPr="00A33DBC">
        <w:rPr>
          <w:rFonts w:ascii="Times New Roman" w:hAnsi="Times New Roman" w:cs="Times New Roman"/>
          <w:sz w:val="24"/>
          <w:szCs w:val="24"/>
        </w:rPr>
        <w:t>ctions as a cash flow statement</w:t>
      </w:r>
      <w:r w:rsidR="00E143E9" w:rsidRPr="00A33DBC">
        <w:rPr>
          <w:rFonts w:ascii="Times New Roman" w:hAnsi="Times New Roman" w:cs="Times New Roman"/>
          <w:sz w:val="24"/>
          <w:szCs w:val="24"/>
        </w:rPr>
        <w:t>.</w:t>
      </w:r>
      <w:r w:rsidR="00307BED" w:rsidRPr="00A33DBC">
        <w:rPr>
          <w:rFonts w:ascii="Times New Roman" w:hAnsi="Times New Roman" w:cs="Times New Roman"/>
          <w:sz w:val="24"/>
          <w:szCs w:val="24"/>
        </w:rPr>
        <w:t xml:space="preserve"> </w:t>
      </w:r>
      <w:r w:rsidR="00E143E9" w:rsidRPr="00A33DBC">
        <w:rPr>
          <w:rFonts w:ascii="Times New Roman" w:hAnsi="Times New Roman" w:cs="Times New Roman"/>
          <w:sz w:val="24"/>
          <w:szCs w:val="24"/>
        </w:rPr>
        <w:t>C</w:t>
      </w:r>
      <w:r w:rsidR="00307BED" w:rsidRPr="00A33DBC">
        <w:rPr>
          <w:rFonts w:ascii="Times New Roman" w:hAnsi="Times New Roman" w:cs="Times New Roman"/>
          <w:sz w:val="24"/>
          <w:szCs w:val="24"/>
        </w:rPr>
        <w:t xml:space="preserve">ash flow for one month is added to total cash on hand at the time of the bankroll verification to project a cash position at the end of thirty days. </w:t>
      </w:r>
      <w:r w:rsidR="00934752" w:rsidRPr="00A33DBC">
        <w:rPr>
          <w:rFonts w:ascii="Times New Roman" w:hAnsi="Times New Roman" w:cs="Times New Roman"/>
          <w:sz w:val="24"/>
          <w:szCs w:val="24"/>
        </w:rPr>
        <w:t xml:space="preserve"> </w:t>
      </w:r>
      <w:r w:rsidR="00307BED" w:rsidRPr="00A33DBC">
        <w:rPr>
          <w:rFonts w:ascii="Times New Roman" w:hAnsi="Times New Roman" w:cs="Times New Roman"/>
          <w:sz w:val="24"/>
          <w:szCs w:val="24"/>
        </w:rPr>
        <w:t xml:space="preserve">Cash flow, as used here, includes revenues and expenses of all departments, not just those which are gaming-related.  Gross revenues </w:t>
      </w:r>
      <w:r w:rsidR="00934752" w:rsidRPr="00A33DBC">
        <w:rPr>
          <w:rFonts w:ascii="Times New Roman" w:hAnsi="Times New Roman" w:cs="Times New Roman"/>
          <w:sz w:val="24"/>
          <w:szCs w:val="24"/>
        </w:rPr>
        <w:t xml:space="preserve">and operating expenses </w:t>
      </w:r>
      <w:r w:rsidR="00307BED" w:rsidRPr="00A33DBC">
        <w:rPr>
          <w:rFonts w:ascii="Times New Roman" w:hAnsi="Times New Roman" w:cs="Times New Roman"/>
          <w:sz w:val="24"/>
          <w:szCs w:val="24"/>
        </w:rPr>
        <w:t>should exclude compl</w:t>
      </w:r>
      <w:r w:rsidR="00934752" w:rsidRPr="00A33DBC">
        <w:rPr>
          <w:rFonts w:ascii="Times New Roman" w:hAnsi="Times New Roman" w:cs="Times New Roman"/>
          <w:sz w:val="24"/>
          <w:szCs w:val="24"/>
        </w:rPr>
        <w:t>i</w:t>
      </w:r>
      <w:r w:rsidR="00307BED" w:rsidRPr="00A33DBC">
        <w:rPr>
          <w:rFonts w:ascii="Times New Roman" w:hAnsi="Times New Roman" w:cs="Times New Roman"/>
          <w:sz w:val="24"/>
          <w:szCs w:val="24"/>
        </w:rPr>
        <w:t xml:space="preserve">mentaries. </w:t>
      </w:r>
    </w:p>
    <w:p w:rsidR="00DA34C0" w:rsidRPr="00A33DBC" w:rsidRDefault="00DA34C0" w:rsidP="00C7599C">
      <w:pPr>
        <w:spacing w:after="0" w:line="240" w:lineRule="auto"/>
        <w:jc w:val="both"/>
        <w:rPr>
          <w:rFonts w:ascii="Times New Roman" w:hAnsi="Times New Roman" w:cs="Times New Roman"/>
          <w:sz w:val="24"/>
          <w:szCs w:val="24"/>
        </w:rPr>
      </w:pPr>
    </w:p>
    <w:p w:rsidR="00F171E3" w:rsidRPr="00A33DBC" w:rsidRDefault="00DA34C0" w:rsidP="00F171E3">
      <w:pPr>
        <w:spacing w:after="0" w:line="240" w:lineRule="auto"/>
        <w:jc w:val="both"/>
        <w:rPr>
          <w:rFonts w:ascii="Times New Roman" w:hAnsi="Times New Roman" w:cs="Times New Roman"/>
          <w:sz w:val="24"/>
          <w:szCs w:val="24"/>
        </w:rPr>
      </w:pPr>
      <w:r w:rsidRPr="00A33DBC">
        <w:rPr>
          <w:rFonts w:ascii="Times New Roman" w:hAnsi="Times New Roman" w:cs="Times New Roman"/>
          <w:sz w:val="24"/>
          <w:szCs w:val="24"/>
        </w:rPr>
        <w:t xml:space="preserve">The debt service amount should include one month’s principal and interest payments on </w:t>
      </w:r>
      <w:r w:rsidR="00F171E3" w:rsidRPr="00A33DBC">
        <w:rPr>
          <w:rFonts w:ascii="Times New Roman" w:hAnsi="Times New Roman" w:cs="Times New Roman"/>
          <w:sz w:val="24"/>
          <w:szCs w:val="24"/>
        </w:rPr>
        <w:t>outstanding short-term</w:t>
      </w:r>
      <w:r w:rsidR="00367344" w:rsidRPr="00A33DBC">
        <w:rPr>
          <w:rFonts w:ascii="Times New Roman" w:hAnsi="Times New Roman" w:cs="Times New Roman"/>
          <w:sz w:val="24"/>
          <w:szCs w:val="24"/>
        </w:rPr>
        <w:t>,</w:t>
      </w:r>
      <w:r w:rsidR="00F171E3" w:rsidRPr="00A33DBC">
        <w:rPr>
          <w:rFonts w:ascii="Times New Roman" w:hAnsi="Times New Roman" w:cs="Times New Roman"/>
          <w:sz w:val="24"/>
          <w:szCs w:val="24"/>
        </w:rPr>
        <w:t xml:space="preserve"> </w:t>
      </w:r>
      <w:r w:rsidR="00367344" w:rsidRPr="00A33DBC">
        <w:rPr>
          <w:rFonts w:ascii="Times New Roman" w:hAnsi="Times New Roman" w:cs="Times New Roman"/>
          <w:sz w:val="24"/>
          <w:szCs w:val="24"/>
        </w:rPr>
        <w:t xml:space="preserve">overdue </w:t>
      </w:r>
      <w:r w:rsidR="00F171E3" w:rsidRPr="00A33DBC">
        <w:rPr>
          <w:rFonts w:ascii="Times New Roman" w:hAnsi="Times New Roman" w:cs="Times New Roman"/>
          <w:sz w:val="24"/>
          <w:szCs w:val="24"/>
        </w:rPr>
        <w:t xml:space="preserve">long-term </w:t>
      </w:r>
      <w:r w:rsidRPr="00A33DBC">
        <w:rPr>
          <w:rFonts w:ascii="Times New Roman" w:hAnsi="Times New Roman" w:cs="Times New Roman"/>
          <w:sz w:val="24"/>
          <w:szCs w:val="24"/>
        </w:rPr>
        <w:t>debt</w:t>
      </w:r>
      <w:r w:rsidR="00367344" w:rsidRPr="00A33DBC">
        <w:rPr>
          <w:rFonts w:ascii="Times New Roman" w:hAnsi="Times New Roman" w:cs="Times New Roman"/>
          <w:sz w:val="24"/>
          <w:szCs w:val="24"/>
        </w:rPr>
        <w:t>, and short term debt over 60 days past due</w:t>
      </w:r>
      <w:r w:rsidRPr="00A33DBC">
        <w:rPr>
          <w:rFonts w:ascii="Times New Roman" w:hAnsi="Times New Roman" w:cs="Times New Roman"/>
          <w:sz w:val="24"/>
          <w:szCs w:val="24"/>
        </w:rPr>
        <w:t xml:space="preserve">.  </w:t>
      </w:r>
      <w:r w:rsidR="00F171E3" w:rsidRPr="00A33DBC">
        <w:rPr>
          <w:rFonts w:ascii="Times New Roman" w:hAnsi="Times New Roman" w:cs="Times New Roman"/>
          <w:sz w:val="24"/>
          <w:szCs w:val="24"/>
        </w:rPr>
        <w:t xml:space="preserve">  </w:t>
      </w:r>
    </w:p>
    <w:p w:rsidR="00F171E3" w:rsidRPr="00A33DBC" w:rsidRDefault="00F171E3" w:rsidP="00F171E3">
      <w:pPr>
        <w:spacing w:after="0" w:line="240" w:lineRule="auto"/>
        <w:jc w:val="both"/>
        <w:rPr>
          <w:rFonts w:ascii="Times New Roman" w:hAnsi="Times New Roman" w:cs="Times New Roman"/>
          <w:sz w:val="24"/>
          <w:szCs w:val="24"/>
        </w:rPr>
      </w:pPr>
    </w:p>
    <w:p w:rsidR="00F171E3" w:rsidRPr="00A33DBC" w:rsidRDefault="00F171E3" w:rsidP="00F171E3">
      <w:pPr>
        <w:spacing w:after="0" w:line="240" w:lineRule="auto"/>
        <w:jc w:val="both"/>
        <w:rPr>
          <w:rFonts w:ascii="Times New Roman" w:hAnsi="Times New Roman" w:cs="Times New Roman"/>
          <w:sz w:val="24"/>
          <w:szCs w:val="24"/>
        </w:rPr>
      </w:pPr>
      <w:r w:rsidRPr="00A33DBC">
        <w:rPr>
          <w:rFonts w:ascii="Times New Roman" w:hAnsi="Times New Roman" w:cs="Times New Roman"/>
          <w:sz w:val="24"/>
          <w:szCs w:val="24"/>
        </w:rPr>
        <w:t>Payroll expenses should include one month’s total payroll liability, including all salaries and wages and the employer’s portion of all payroll taxes and benefits.</w:t>
      </w:r>
    </w:p>
    <w:p w:rsidR="00F171E3" w:rsidRPr="00A33DBC" w:rsidRDefault="00F171E3" w:rsidP="00C7599C">
      <w:pPr>
        <w:spacing w:after="0" w:line="240" w:lineRule="auto"/>
        <w:jc w:val="both"/>
        <w:rPr>
          <w:rFonts w:ascii="Times New Roman" w:hAnsi="Times New Roman" w:cs="Times New Roman"/>
          <w:sz w:val="24"/>
          <w:szCs w:val="24"/>
        </w:rPr>
      </w:pPr>
    </w:p>
    <w:p w:rsidR="00307BED" w:rsidRPr="00A33DBC" w:rsidRDefault="00307BED" w:rsidP="00C7599C">
      <w:pPr>
        <w:spacing w:after="0" w:line="240" w:lineRule="auto"/>
        <w:jc w:val="both"/>
        <w:rPr>
          <w:rFonts w:ascii="Times New Roman" w:hAnsi="Times New Roman" w:cs="Times New Roman"/>
          <w:sz w:val="24"/>
          <w:szCs w:val="24"/>
        </w:rPr>
      </w:pPr>
      <w:r w:rsidRPr="00A33DBC">
        <w:rPr>
          <w:rFonts w:ascii="Times New Roman" w:hAnsi="Times New Roman" w:cs="Times New Roman"/>
          <w:sz w:val="24"/>
          <w:szCs w:val="24"/>
        </w:rPr>
        <w:t xml:space="preserve">The computations used to determine the cash requirement for licensed gaming activity, </w:t>
      </w:r>
      <w:r w:rsidR="00DA34C0" w:rsidRPr="00A33DBC">
        <w:rPr>
          <w:rFonts w:ascii="Times New Roman" w:hAnsi="Times New Roman" w:cs="Times New Roman"/>
          <w:sz w:val="24"/>
          <w:szCs w:val="24"/>
        </w:rPr>
        <w:t xml:space="preserve">Worksheet </w:t>
      </w:r>
      <w:r w:rsidRPr="00A33DBC">
        <w:rPr>
          <w:rFonts w:ascii="Times New Roman" w:hAnsi="Times New Roman" w:cs="Times New Roman"/>
          <w:sz w:val="24"/>
          <w:szCs w:val="24"/>
        </w:rPr>
        <w:t>#2, are as follows:</w:t>
      </w:r>
    </w:p>
    <w:p w:rsidR="00307BED" w:rsidRPr="00A33DBC" w:rsidRDefault="00307BED" w:rsidP="00C7599C">
      <w:pPr>
        <w:spacing w:after="0" w:line="240" w:lineRule="auto"/>
        <w:jc w:val="both"/>
        <w:rPr>
          <w:rFonts w:ascii="Times New Roman" w:hAnsi="Times New Roman" w:cs="Times New Roman"/>
          <w:sz w:val="24"/>
          <w:szCs w:val="24"/>
        </w:rPr>
      </w:pPr>
    </w:p>
    <w:p w:rsidR="00307BED" w:rsidRPr="00A33DBC" w:rsidRDefault="00307BED" w:rsidP="00C7599C">
      <w:pPr>
        <w:pStyle w:val="ListParagraph"/>
        <w:numPr>
          <w:ilvl w:val="0"/>
          <w:numId w:val="1"/>
        </w:numPr>
        <w:spacing w:after="0" w:line="240" w:lineRule="auto"/>
        <w:jc w:val="both"/>
        <w:rPr>
          <w:rFonts w:ascii="Times New Roman" w:hAnsi="Times New Roman" w:cs="Times New Roman"/>
          <w:sz w:val="24"/>
          <w:szCs w:val="24"/>
        </w:rPr>
      </w:pPr>
      <w:r w:rsidRPr="00A33DBC">
        <w:rPr>
          <w:rFonts w:ascii="Times New Roman" w:hAnsi="Times New Roman" w:cs="Times New Roman"/>
          <w:sz w:val="24"/>
          <w:szCs w:val="24"/>
        </w:rPr>
        <w:t xml:space="preserve">The average daily fill for each type of table game is determined by dividing total fills (be sure </w:t>
      </w:r>
      <w:r w:rsidRPr="00A33DBC">
        <w:rPr>
          <w:rFonts w:ascii="Times New Roman" w:hAnsi="Times New Roman" w:cs="Times New Roman"/>
          <w:sz w:val="24"/>
          <w:szCs w:val="24"/>
          <w:u w:val="single"/>
        </w:rPr>
        <w:t>not</w:t>
      </w:r>
      <w:r w:rsidRPr="00A33DBC">
        <w:rPr>
          <w:rFonts w:ascii="Times New Roman" w:hAnsi="Times New Roman" w:cs="Times New Roman"/>
          <w:sz w:val="24"/>
          <w:szCs w:val="24"/>
        </w:rPr>
        <w:t xml:space="preserve"> to use net of fills), as reflected in the accounting records</w:t>
      </w:r>
      <w:r w:rsidR="00DA34C0" w:rsidRPr="00A33DBC">
        <w:rPr>
          <w:rFonts w:ascii="Times New Roman" w:hAnsi="Times New Roman" w:cs="Times New Roman"/>
          <w:sz w:val="24"/>
          <w:szCs w:val="24"/>
        </w:rPr>
        <w:t>,</w:t>
      </w:r>
      <w:r w:rsidRPr="00A33DBC">
        <w:rPr>
          <w:rFonts w:ascii="Times New Roman" w:hAnsi="Times New Roman" w:cs="Times New Roman"/>
          <w:sz w:val="24"/>
          <w:szCs w:val="24"/>
        </w:rPr>
        <w:t xml:space="preserve"> by the number of days </w:t>
      </w:r>
      <w:r w:rsidRPr="00A33DBC">
        <w:rPr>
          <w:rFonts w:ascii="Times New Roman" w:hAnsi="Times New Roman" w:cs="Times New Roman"/>
          <w:sz w:val="24"/>
          <w:szCs w:val="24"/>
        </w:rPr>
        <w:lastRenderedPageBreak/>
        <w:t xml:space="preserve">in that month.  This is multiplied by </w:t>
      </w:r>
      <w:r w:rsidR="00DA34C0" w:rsidRPr="00A33DBC">
        <w:rPr>
          <w:rFonts w:ascii="Times New Roman" w:hAnsi="Times New Roman" w:cs="Times New Roman"/>
          <w:sz w:val="24"/>
          <w:szCs w:val="24"/>
        </w:rPr>
        <w:t xml:space="preserve">two </w:t>
      </w:r>
      <w:r w:rsidRPr="00A33DBC">
        <w:rPr>
          <w:rFonts w:ascii="Times New Roman" w:hAnsi="Times New Roman" w:cs="Times New Roman"/>
          <w:sz w:val="24"/>
          <w:szCs w:val="24"/>
        </w:rPr>
        <w:t>days to approximate the cash needed to operate table games.</w:t>
      </w:r>
    </w:p>
    <w:p w:rsidR="00C7599C" w:rsidRPr="00A33DBC" w:rsidRDefault="00C7599C" w:rsidP="00C7599C">
      <w:pPr>
        <w:spacing w:after="0" w:line="240" w:lineRule="auto"/>
        <w:ind w:left="360"/>
        <w:jc w:val="both"/>
        <w:rPr>
          <w:rFonts w:ascii="Times New Roman" w:hAnsi="Times New Roman" w:cs="Times New Roman"/>
          <w:sz w:val="24"/>
          <w:szCs w:val="24"/>
        </w:rPr>
      </w:pPr>
    </w:p>
    <w:p w:rsidR="001A5469" w:rsidRPr="00A33DBC" w:rsidRDefault="001A5469" w:rsidP="00C7599C">
      <w:pPr>
        <w:pStyle w:val="ListParagraph"/>
        <w:numPr>
          <w:ilvl w:val="0"/>
          <w:numId w:val="1"/>
        </w:numPr>
        <w:spacing w:after="0" w:line="240" w:lineRule="auto"/>
        <w:jc w:val="both"/>
        <w:rPr>
          <w:rFonts w:ascii="Times New Roman" w:hAnsi="Times New Roman" w:cs="Times New Roman"/>
          <w:sz w:val="24"/>
          <w:szCs w:val="24"/>
        </w:rPr>
      </w:pPr>
      <w:r w:rsidRPr="00A33DBC">
        <w:rPr>
          <w:rFonts w:ascii="Times New Roman" w:hAnsi="Times New Roman" w:cs="Times New Roman"/>
          <w:sz w:val="24"/>
          <w:szCs w:val="24"/>
        </w:rPr>
        <w:t>The slot machine reserve amount, other than those involving periodic payments as described in item 4 below, is determined by totaling items (a) and (b) as applicable</w:t>
      </w:r>
      <w:r w:rsidR="00367344" w:rsidRPr="00A33DBC">
        <w:rPr>
          <w:rFonts w:ascii="Times New Roman" w:hAnsi="Times New Roman" w:cs="Times New Roman"/>
          <w:sz w:val="24"/>
          <w:szCs w:val="24"/>
        </w:rPr>
        <w:t xml:space="preserve"> </w:t>
      </w:r>
      <w:r w:rsidR="00A33DBC" w:rsidRPr="00A33DBC">
        <w:rPr>
          <w:rFonts w:ascii="Times New Roman" w:hAnsi="Times New Roman" w:cs="Times New Roman"/>
          <w:sz w:val="24"/>
          <w:szCs w:val="24"/>
        </w:rPr>
        <w:t xml:space="preserve">on </w:t>
      </w:r>
      <w:r w:rsidR="00367344" w:rsidRPr="00A33DBC">
        <w:rPr>
          <w:rFonts w:ascii="Times New Roman" w:hAnsi="Times New Roman" w:cs="Times New Roman"/>
          <w:sz w:val="24"/>
          <w:szCs w:val="24"/>
        </w:rPr>
        <w:t>Worksheet #3</w:t>
      </w:r>
      <w:r w:rsidRPr="00A33DBC">
        <w:rPr>
          <w:rFonts w:ascii="Times New Roman" w:hAnsi="Times New Roman" w:cs="Times New Roman"/>
          <w:sz w:val="24"/>
          <w:szCs w:val="24"/>
        </w:rPr>
        <w:t>:</w:t>
      </w:r>
    </w:p>
    <w:p w:rsidR="00C7599C" w:rsidRPr="00A33DBC" w:rsidRDefault="00C7599C" w:rsidP="00C7599C">
      <w:pPr>
        <w:spacing w:after="0" w:line="240" w:lineRule="auto"/>
        <w:ind w:left="360"/>
        <w:jc w:val="both"/>
        <w:rPr>
          <w:rFonts w:ascii="Times New Roman" w:hAnsi="Times New Roman" w:cs="Times New Roman"/>
          <w:sz w:val="24"/>
          <w:szCs w:val="24"/>
        </w:rPr>
      </w:pPr>
    </w:p>
    <w:p w:rsidR="001A5469" w:rsidRPr="00A33DBC" w:rsidRDefault="001A5469" w:rsidP="00C7599C">
      <w:pPr>
        <w:pStyle w:val="ListParagraph"/>
        <w:numPr>
          <w:ilvl w:val="0"/>
          <w:numId w:val="2"/>
        </w:numPr>
        <w:spacing w:after="0" w:line="240" w:lineRule="auto"/>
        <w:jc w:val="both"/>
        <w:rPr>
          <w:rFonts w:ascii="Times New Roman" w:hAnsi="Times New Roman" w:cs="Times New Roman"/>
          <w:sz w:val="24"/>
          <w:szCs w:val="24"/>
        </w:rPr>
      </w:pPr>
      <w:r w:rsidRPr="00A33DBC">
        <w:rPr>
          <w:rFonts w:ascii="Times New Roman" w:hAnsi="Times New Roman" w:cs="Times New Roman"/>
          <w:sz w:val="24"/>
          <w:szCs w:val="24"/>
        </w:rPr>
        <w:t>The average daily fill/jackpot amount (which may be determined by totaling the daily fill/jackpot amounts for the month and then dividing the result by the number of days in the month), times the greater of:</w:t>
      </w:r>
    </w:p>
    <w:p w:rsidR="001A5469" w:rsidRPr="00A33DBC" w:rsidRDefault="001A5469" w:rsidP="00C7599C">
      <w:pPr>
        <w:pStyle w:val="ListParagraph"/>
        <w:numPr>
          <w:ilvl w:val="1"/>
          <w:numId w:val="2"/>
        </w:numPr>
        <w:spacing w:after="0" w:line="240" w:lineRule="auto"/>
        <w:jc w:val="both"/>
        <w:rPr>
          <w:rFonts w:ascii="Times New Roman" w:hAnsi="Times New Roman" w:cs="Times New Roman"/>
          <w:sz w:val="24"/>
          <w:szCs w:val="24"/>
        </w:rPr>
      </w:pPr>
      <w:r w:rsidRPr="00A33DBC">
        <w:rPr>
          <w:rFonts w:ascii="Times New Roman" w:hAnsi="Times New Roman" w:cs="Times New Roman"/>
          <w:sz w:val="24"/>
          <w:szCs w:val="24"/>
        </w:rPr>
        <w:t>The number of days until the next slot drop; or</w:t>
      </w:r>
    </w:p>
    <w:p w:rsidR="001A5469" w:rsidRPr="00A33DBC" w:rsidRDefault="001A5469" w:rsidP="00C7599C">
      <w:pPr>
        <w:pStyle w:val="ListParagraph"/>
        <w:numPr>
          <w:ilvl w:val="1"/>
          <w:numId w:val="2"/>
        </w:numPr>
        <w:spacing w:after="0" w:line="240" w:lineRule="auto"/>
        <w:jc w:val="both"/>
        <w:rPr>
          <w:rFonts w:ascii="Times New Roman" w:hAnsi="Times New Roman" w:cs="Times New Roman"/>
          <w:sz w:val="24"/>
          <w:szCs w:val="24"/>
        </w:rPr>
      </w:pPr>
      <w:r w:rsidRPr="00A33DBC">
        <w:rPr>
          <w:rFonts w:ascii="Times New Roman" w:hAnsi="Times New Roman" w:cs="Times New Roman"/>
          <w:sz w:val="24"/>
          <w:szCs w:val="24"/>
        </w:rPr>
        <w:t>Two days.</w:t>
      </w:r>
    </w:p>
    <w:p w:rsidR="00C7599C" w:rsidRPr="00A33DBC" w:rsidRDefault="00C7599C" w:rsidP="00C7599C">
      <w:pPr>
        <w:spacing w:after="0" w:line="240" w:lineRule="auto"/>
        <w:ind w:left="1440"/>
        <w:jc w:val="both"/>
        <w:rPr>
          <w:rFonts w:ascii="Times New Roman" w:hAnsi="Times New Roman" w:cs="Times New Roman"/>
          <w:sz w:val="24"/>
          <w:szCs w:val="24"/>
        </w:rPr>
      </w:pPr>
    </w:p>
    <w:p w:rsidR="001A5469" w:rsidRPr="00A33DBC" w:rsidRDefault="001A5469" w:rsidP="00C7599C">
      <w:pPr>
        <w:pStyle w:val="ListParagraph"/>
        <w:numPr>
          <w:ilvl w:val="0"/>
          <w:numId w:val="2"/>
        </w:numPr>
        <w:spacing w:after="0" w:line="240" w:lineRule="auto"/>
        <w:jc w:val="both"/>
        <w:rPr>
          <w:rFonts w:ascii="Times New Roman" w:hAnsi="Times New Roman" w:cs="Times New Roman"/>
          <w:sz w:val="24"/>
          <w:szCs w:val="24"/>
        </w:rPr>
      </w:pPr>
      <w:r w:rsidRPr="00A33DBC">
        <w:rPr>
          <w:rFonts w:ascii="Times New Roman" w:hAnsi="Times New Roman" w:cs="Times New Roman"/>
          <w:sz w:val="24"/>
          <w:szCs w:val="24"/>
        </w:rPr>
        <w:t>Add the greater of either (1) or (2) below to the figure in 2(a</w:t>
      </w:r>
      <w:r w:rsidR="00C7599C" w:rsidRPr="00A33DBC">
        <w:rPr>
          <w:rFonts w:ascii="Times New Roman" w:hAnsi="Times New Roman" w:cs="Times New Roman"/>
          <w:sz w:val="24"/>
          <w:szCs w:val="24"/>
        </w:rPr>
        <w:t>) above</w:t>
      </w:r>
      <w:r w:rsidR="00DA34C0" w:rsidRPr="00A33DBC">
        <w:rPr>
          <w:rFonts w:ascii="Times New Roman" w:hAnsi="Times New Roman" w:cs="Times New Roman"/>
          <w:sz w:val="24"/>
          <w:szCs w:val="24"/>
        </w:rPr>
        <w:t>:</w:t>
      </w:r>
    </w:p>
    <w:p w:rsidR="00C7599C" w:rsidRPr="00A33DBC" w:rsidRDefault="00C7599C" w:rsidP="00C7599C">
      <w:pPr>
        <w:pStyle w:val="ListParagraph"/>
        <w:numPr>
          <w:ilvl w:val="1"/>
          <w:numId w:val="2"/>
        </w:numPr>
        <w:spacing w:after="0" w:line="240" w:lineRule="auto"/>
        <w:jc w:val="both"/>
        <w:rPr>
          <w:rFonts w:ascii="Times New Roman" w:hAnsi="Times New Roman" w:cs="Times New Roman"/>
          <w:sz w:val="24"/>
          <w:szCs w:val="24"/>
        </w:rPr>
      </w:pPr>
      <w:r w:rsidRPr="00A33DBC">
        <w:rPr>
          <w:rFonts w:ascii="Times New Roman" w:hAnsi="Times New Roman" w:cs="Times New Roman"/>
          <w:sz w:val="24"/>
          <w:szCs w:val="24"/>
        </w:rPr>
        <w:t>20% of the total current progressive slot liability; or</w:t>
      </w:r>
    </w:p>
    <w:p w:rsidR="00C7599C" w:rsidRPr="00A33DBC" w:rsidRDefault="00C7599C" w:rsidP="00C7599C">
      <w:pPr>
        <w:pStyle w:val="ListParagraph"/>
        <w:numPr>
          <w:ilvl w:val="1"/>
          <w:numId w:val="2"/>
        </w:numPr>
        <w:spacing w:after="0" w:line="240" w:lineRule="auto"/>
        <w:jc w:val="both"/>
        <w:rPr>
          <w:rFonts w:ascii="Times New Roman" w:hAnsi="Times New Roman" w:cs="Times New Roman"/>
          <w:sz w:val="24"/>
          <w:szCs w:val="24"/>
        </w:rPr>
      </w:pPr>
      <w:r w:rsidRPr="00A33DBC">
        <w:rPr>
          <w:rFonts w:ascii="Times New Roman" w:hAnsi="Times New Roman" w:cs="Times New Roman"/>
          <w:sz w:val="24"/>
          <w:szCs w:val="24"/>
        </w:rPr>
        <w:t xml:space="preserve">The single highest available </w:t>
      </w:r>
      <w:r w:rsidR="00E6046A" w:rsidRPr="00A33DBC">
        <w:rPr>
          <w:rFonts w:ascii="Times New Roman" w:hAnsi="Times New Roman" w:cs="Times New Roman"/>
          <w:sz w:val="24"/>
          <w:szCs w:val="24"/>
        </w:rPr>
        <w:t xml:space="preserve">in-house </w:t>
      </w:r>
      <w:r w:rsidRPr="00A33DBC">
        <w:rPr>
          <w:rFonts w:ascii="Times New Roman" w:hAnsi="Times New Roman" w:cs="Times New Roman"/>
          <w:sz w:val="24"/>
          <w:szCs w:val="24"/>
        </w:rPr>
        <w:t>progressive or non-progressive jackpot.</w:t>
      </w:r>
    </w:p>
    <w:p w:rsidR="00E6046A" w:rsidRDefault="00E6046A" w:rsidP="003452EC">
      <w:pPr>
        <w:pStyle w:val="ListParagraph"/>
        <w:spacing w:after="0" w:line="240" w:lineRule="auto"/>
        <w:ind w:left="1800"/>
        <w:jc w:val="both"/>
        <w:rPr>
          <w:rFonts w:ascii="Times New Roman" w:hAnsi="Times New Roman" w:cs="Times New Roman"/>
          <w:sz w:val="24"/>
          <w:szCs w:val="24"/>
        </w:rPr>
      </w:pPr>
      <w:r w:rsidRPr="00A33DBC">
        <w:rPr>
          <w:rFonts w:ascii="Times New Roman" w:hAnsi="Times New Roman" w:cs="Times New Roman"/>
          <w:sz w:val="24"/>
          <w:szCs w:val="24"/>
        </w:rPr>
        <w:t>If the largest non-progressive payout is a non-cash item (i.e., car) with a cash option, use the greater of the cost of the personal property or cash option.  Exclude third-party-operated wide-area progressives where the third party is responsible for the progressive payout.</w:t>
      </w:r>
    </w:p>
    <w:p w:rsidR="00C7599C" w:rsidRPr="00C7599C" w:rsidRDefault="00C7599C" w:rsidP="00C7599C">
      <w:pPr>
        <w:spacing w:after="0" w:line="240" w:lineRule="auto"/>
        <w:ind w:left="1440"/>
        <w:jc w:val="both"/>
        <w:rPr>
          <w:rFonts w:ascii="Times New Roman" w:hAnsi="Times New Roman" w:cs="Times New Roman"/>
          <w:sz w:val="24"/>
          <w:szCs w:val="24"/>
        </w:rPr>
      </w:pPr>
    </w:p>
    <w:p w:rsidR="00C7599C" w:rsidRDefault="00C7599C" w:rsidP="00C7599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keno game reserve is the stand</w:t>
      </w:r>
      <w:r w:rsidR="0098113C">
        <w:rPr>
          <w:rFonts w:ascii="Times New Roman" w:hAnsi="Times New Roman" w:cs="Times New Roman"/>
          <w:sz w:val="24"/>
          <w:szCs w:val="24"/>
        </w:rPr>
        <w:t>ard</w:t>
      </w:r>
      <w:r>
        <w:rPr>
          <w:rFonts w:ascii="Times New Roman" w:hAnsi="Times New Roman" w:cs="Times New Roman"/>
          <w:sz w:val="24"/>
          <w:szCs w:val="24"/>
        </w:rPr>
        <w:t xml:space="preserve"> keno game limit plus the current progressive keno liability.</w:t>
      </w:r>
    </w:p>
    <w:p w:rsidR="00C7599C" w:rsidRPr="00C7599C" w:rsidRDefault="00C7599C" w:rsidP="00C7599C">
      <w:pPr>
        <w:spacing w:after="0" w:line="240" w:lineRule="auto"/>
        <w:ind w:left="360"/>
        <w:jc w:val="both"/>
        <w:rPr>
          <w:rFonts w:ascii="Times New Roman" w:hAnsi="Times New Roman" w:cs="Times New Roman"/>
          <w:sz w:val="24"/>
          <w:szCs w:val="24"/>
        </w:rPr>
      </w:pPr>
    </w:p>
    <w:p w:rsidR="00C7599C" w:rsidRDefault="00C7599C" w:rsidP="00C7599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present value of the total sums owed to patrons for annuities or periodic payments as permitted under 13</w:t>
      </w:r>
      <w:r w:rsidR="00A33DBC">
        <w:rPr>
          <w:rFonts w:ascii="Times New Roman" w:hAnsi="Times New Roman" w:cs="Times New Roman"/>
          <w:sz w:val="24"/>
          <w:szCs w:val="24"/>
        </w:rPr>
        <w:t xml:space="preserve"> Mississippi Administrative Code</w:t>
      </w:r>
      <w:r>
        <w:rPr>
          <w:rFonts w:ascii="Times New Roman" w:hAnsi="Times New Roman" w:cs="Times New Roman"/>
          <w:sz w:val="24"/>
          <w:szCs w:val="24"/>
        </w:rPr>
        <w:t>: Gaming, Part 3: Operations, Chapter 1: Operations, Rule 1.9: Periodic Payments, must be included as a cash requirement until those sums are fully funded</w:t>
      </w:r>
      <w:r w:rsidR="00A33DBC">
        <w:rPr>
          <w:rFonts w:ascii="Times New Roman" w:hAnsi="Times New Roman" w:cs="Times New Roman"/>
          <w:sz w:val="24"/>
          <w:szCs w:val="24"/>
        </w:rPr>
        <w:t xml:space="preserve"> on Worksheet #4</w:t>
      </w:r>
      <w:r>
        <w:rPr>
          <w:rFonts w:ascii="Times New Roman" w:hAnsi="Times New Roman" w:cs="Times New Roman"/>
          <w:sz w:val="24"/>
          <w:szCs w:val="24"/>
        </w:rPr>
        <w:t>.</w:t>
      </w:r>
    </w:p>
    <w:p w:rsidR="00C7599C" w:rsidRPr="00C7599C" w:rsidRDefault="00C7599C" w:rsidP="00C7599C">
      <w:pPr>
        <w:spacing w:after="0" w:line="240" w:lineRule="auto"/>
        <w:ind w:left="360"/>
        <w:jc w:val="both"/>
        <w:rPr>
          <w:rFonts w:ascii="Times New Roman" w:hAnsi="Times New Roman" w:cs="Times New Roman"/>
          <w:sz w:val="24"/>
          <w:szCs w:val="24"/>
        </w:rPr>
      </w:pPr>
    </w:p>
    <w:p w:rsidR="00C7599C" w:rsidRDefault="00C7599C" w:rsidP="00C7599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Other progressive payouts include 100% of the progressive payout liability from licensed games other than slots and keno.</w:t>
      </w:r>
    </w:p>
    <w:p w:rsidR="00367344" w:rsidRPr="003452EC" w:rsidRDefault="00367344" w:rsidP="003452EC">
      <w:pPr>
        <w:pStyle w:val="ListParagraph"/>
        <w:rPr>
          <w:rFonts w:ascii="Times New Roman" w:hAnsi="Times New Roman" w:cs="Times New Roman"/>
          <w:sz w:val="24"/>
          <w:szCs w:val="24"/>
        </w:rPr>
      </w:pPr>
    </w:p>
    <w:p w:rsidR="00367344" w:rsidRPr="00367344" w:rsidRDefault="00367344" w:rsidP="00367344">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Race &amp; Sports Book Reserve </w:t>
      </w:r>
      <w:r w:rsidR="00A33DBC">
        <w:rPr>
          <w:rFonts w:ascii="Times New Roman" w:hAnsi="Times New Roman" w:cs="Times New Roman"/>
          <w:sz w:val="24"/>
          <w:szCs w:val="24"/>
        </w:rPr>
        <w:t xml:space="preserve">must be calculated daily and </w:t>
      </w:r>
      <w:r>
        <w:rPr>
          <w:rFonts w:ascii="Times New Roman" w:hAnsi="Times New Roman" w:cs="Times New Roman"/>
          <w:sz w:val="24"/>
          <w:szCs w:val="24"/>
        </w:rPr>
        <w:t>shall be</w:t>
      </w:r>
      <w:r w:rsidRPr="00367344">
        <w:rPr>
          <w:rFonts w:ascii="Times New Roman" w:hAnsi="Times New Roman" w:cs="Times New Roman"/>
          <w:sz w:val="24"/>
          <w:szCs w:val="24"/>
        </w:rPr>
        <w:t xml:space="preserve"> the greater of $50,000 or the sum of the following amounts:  i. Amounts held by the book for the account of patrons</w:t>
      </w:r>
      <w:r>
        <w:rPr>
          <w:rFonts w:ascii="Times New Roman" w:hAnsi="Times New Roman" w:cs="Times New Roman"/>
          <w:sz w:val="24"/>
          <w:szCs w:val="24"/>
        </w:rPr>
        <w:t xml:space="preserve"> (book front money); </w:t>
      </w:r>
      <w:r w:rsidRPr="00367344">
        <w:rPr>
          <w:rFonts w:ascii="Times New Roman" w:hAnsi="Times New Roman" w:cs="Times New Roman"/>
          <w:sz w:val="24"/>
          <w:szCs w:val="24"/>
        </w:rPr>
        <w:t>ii. Aggregate amounts accepted by the book as wagers on contingencies whose outcomes have not been determined</w:t>
      </w:r>
      <w:r>
        <w:rPr>
          <w:rFonts w:ascii="Times New Roman" w:hAnsi="Times New Roman" w:cs="Times New Roman"/>
          <w:sz w:val="24"/>
          <w:szCs w:val="24"/>
        </w:rPr>
        <w:t xml:space="preserve"> </w:t>
      </w:r>
      <w:r w:rsidR="00A33DBC">
        <w:rPr>
          <w:rFonts w:ascii="Times New Roman" w:hAnsi="Times New Roman" w:cs="Times New Roman"/>
          <w:sz w:val="24"/>
          <w:szCs w:val="24"/>
        </w:rPr>
        <w:t>(Futures)</w:t>
      </w:r>
      <w:r w:rsidRPr="00367344">
        <w:rPr>
          <w:rFonts w:ascii="Times New Roman" w:hAnsi="Times New Roman" w:cs="Times New Roman"/>
          <w:sz w:val="24"/>
          <w:szCs w:val="24"/>
        </w:rPr>
        <w:t>; and iii. Amounts owed but unpaid by the book on winning wagers through the period established by the book for honoring winning wagers</w:t>
      </w:r>
      <w:r w:rsidR="00A33DBC">
        <w:rPr>
          <w:rFonts w:ascii="Times New Roman" w:hAnsi="Times New Roman" w:cs="Times New Roman"/>
          <w:sz w:val="24"/>
          <w:szCs w:val="24"/>
        </w:rPr>
        <w:t xml:space="preserve"> (Current Unpaids) on Worksheet #5</w:t>
      </w:r>
      <w:r w:rsidRPr="00367344">
        <w:rPr>
          <w:rFonts w:ascii="Times New Roman" w:hAnsi="Times New Roman" w:cs="Times New Roman"/>
          <w:sz w:val="24"/>
          <w:szCs w:val="24"/>
        </w:rPr>
        <w:t>.</w:t>
      </w:r>
    </w:p>
    <w:p w:rsidR="00DA34C0" w:rsidRPr="00ED7AE4" w:rsidRDefault="00DA34C0" w:rsidP="00ED7AE4">
      <w:pPr>
        <w:pStyle w:val="ListParagraph"/>
        <w:rPr>
          <w:rFonts w:ascii="Times New Roman" w:hAnsi="Times New Roman" w:cs="Times New Roman"/>
          <w:sz w:val="24"/>
          <w:szCs w:val="24"/>
        </w:rPr>
      </w:pPr>
    </w:p>
    <w:p w:rsidR="00DA34C0" w:rsidRPr="00ED7AE4" w:rsidRDefault="00DA34C0" w:rsidP="00ED7AE4">
      <w:pPr>
        <w:spacing w:after="0" w:line="240" w:lineRule="auto"/>
        <w:jc w:val="both"/>
        <w:rPr>
          <w:rFonts w:ascii="Times New Roman" w:hAnsi="Times New Roman" w:cs="Times New Roman"/>
          <w:sz w:val="24"/>
          <w:szCs w:val="24"/>
        </w:rPr>
      </w:pPr>
    </w:p>
    <w:sectPr w:rsidR="00DA34C0" w:rsidRPr="00ED7AE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A0E" w:rsidRDefault="009D5A0E" w:rsidP="00C1287B">
      <w:pPr>
        <w:spacing w:after="0" w:line="240" w:lineRule="auto"/>
      </w:pPr>
      <w:r>
        <w:separator/>
      </w:r>
    </w:p>
  </w:endnote>
  <w:endnote w:type="continuationSeparator" w:id="0">
    <w:p w:rsidR="009D5A0E" w:rsidRDefault="009D5A0E" w:rsidP="00C12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256569"/>
      <w:docPartObj>
        <w:docPartGallery w:val="Page Numbers (Bottom of Page)"/>
        <w:docPartUnique/>
      </w:docPartObj>
    </w:sdtPr>
    <w:sdtEndPr>
      <w:rPr>
        <w:color w:val="808080" w:themeColor="background1" w:themeShade="80"/>
        <w:spacing w:val="60"/>
      </w:rPr>
    </w:sdtEndPr>
    <w:sdtContent>
      <w:p w:rsidR="009328B3" w:rsidRDefault="009328B3">
        <w:pPr>
          <w:pStyle w:val="Footer"/>
          <w:pBdr>
            <w:top w:val="single" w:sz="4" w:space="1" w:color="D9D9D9" w:themeColor="background1" w:themeShade="D9"/>
          </w:pBdr>
          <w:jc w:val="right"/>
        </w:pPr>
        <w:r>
          <w:fldChar w:fldCharType="begin"/>
        </w:r>
        <w:r>
          <w:instrText xml:space="preserve"> PAGE   \* MERGEFORMAT </w:instrText>
        </w:r>
        <w:r>
          <w:fldChar w:fldCharType="separate"/>
        </w:r>
        <w:r w:rsidR="003452EC">
          <w:rPr>
            <w:noProof/>
          </w:rPr>
          <w:t>2</w:t>
        </w:r>
        <w:r>
          <w:rPr>
            <w:noProof/>
          </w:rPr>
          <w:fldChar w:fldCharType="end"/>
        </w:r>
        <w:r>
          <w:t xml:space="preserve"> | </w:t>
        </w:r>
        <w:r>
          <w:rPr>
            <w:color w:val="808080" w:themeColor="background1" w:themeShade="80"/>
            <w:spacing w:val="60"/>
          </w:rPr>
          <w:t>Page</w:t>
        </w:r>
      </w:p>
    </w:sdtContent>
  </w:sdt>
  <w:p w:rsidR="009328B3" w:rsidRDefault="00932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A0E" w:rsidRDefault="009D5A0E" w:rsidP="00C1287B">
      <w:pPr>
        <w:spacing w:after="0" w:line="240" w:lineRule="auto"/>
      </w:pPr>
      <w:r>
        <w:separator/>
      </w:r>
    </w:p>
  </w:footnote>
  <w:footnote w:type="continuationSeparator" w:id="0">
    <w:p w:rsidR="009D5A0E" w:rsidRDefault="009D5A0E" w:rsidP="00C12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99C" w:rsidRPr="00C1287B" w:rsidRDefault="00C7599C" w:rsidP="00C1287B">
    <w:pPr>
      <w:pStyle w:val="Header"/>
      <w:jc w:val="center"/>
      <w:rPr>
        <w:rFonts w:ascii="Times New Roman" w:hAnsi="Times New Roman" w:cs="Times New Roman"/>
        <w:sz w:val="28"/>
        <w:szCs w:val="28"/>
      </w:rPr>
    </w:pPr>
    <w:r w:rsidRPr="00C1287B">
      <w:rPr>
        <w:rFonts w:ascii="Times New Roman" w:hAnsi="Times New Roman" w:cs="Times New Roman"/>
        <w:sz w:val="28"/>
        <w:szCs w:val="28"/>
      </w:rPr>
      <w:t>MISSISSIPPI GAMING COMMISSION</w:t>
    </w:r>
  </w:p>
  <w:p w:rsidR="00C7599C" w:rsidRDefault="00C7599C" w:rsidP="00C1287B">
    <w:pPr>
      <w:pStyle w:val="Header"/>
      <w:jc w:val="center"/>
      <w:rPr>
        <w:rFonts w:ascii="Times New Roman" w:hAnsi="Times New Roman" w:cs="Times New Roman"/>
        <w:sz w:val="28"/>
        <w:szCs w:val="28"/>
      </w:rPr>
    </w:pPr>
  </w:p>
  <w:p w:rsidR="00C7599C" w:rsidRPr="00C1287B" w:rsidRDefault="00C7599C" w:rsidP="00C1287B">
    <w:pPr>
      <w:pStyle w:val="Header"/>
      <w:jc w:val="center"/>
      <w:rPr>
        <w:rFonts w:ascii="Times New Roman" w:hAnsi="Times New Roman" w:cs="Times New Roman"/>
        <w:sz w:val="28"/>
        <w:szCs w:val="28"/>
      </w:rPr>
    </w:pPr>
    <w:r w:rsidRPr="00C1287B">
      <w:rPr>
        <w:rFonts w:ascii="Times New Roman" w:hAnsi="Times New Roman" w:cs="Times New Roman"/>
        <w:sz w:val="28"/>
        <w:szCs w:val="28"/>
      </w:rPr>
      <w:t>MINIMUM BANKROLL REQUIREMENTS</w:t>
    </w:r>
  </w:p>
  <w:p w:rsidR="00C7599C" w:rsidRPr="00C1287B" w:rsidRDefault="00C7599C" w:rsidP="00C1287B">
    <w:pPr>
      <w:pStyle w:val="Header"/>
      <w:jc w:val="center"/>
      <w:rPr>
        <w:rFonts w:ascii="Times New Roman" w:hAnsi="Times New Roman" w:cs="Times New Roman"/>
        <w:sz w:val="28"/>
        <w:szCs w:val="28"/>
      </w:rPr>
    </w:pPr>
    <w:r w:rsidRPr="00C1287B">
      <w:rPr>
        <w:rFonts w:ascii="Times New Roman" w:hAnsi="Times New Roman" w:cs="Times New Roman"/>
        <w:sz w:val="28"/>
        <w:szCs w:val="28"/>
      </w:rPr>
      <w:t>FOR LICENSED GAMING ESTABLISHMENTS</w:t>
    </w:r>
  </w:p>
  <w:p w:rsidR="00C7599C" w:rsidRDefault="00C7599C" w:rsidP="00C1287B">
    <w:pPr>
      <w:pStyle w:val="Header"/>
      <w:jc w:val="center"/>
      <w:rPr>
        <w:rFonts w:ascii="Times New Roman" w:hAnsi="Times New Roman" w:cs="Times New Roman"/>
      </w:rPr>
    </w:pPr>
  </w:p>
  <w:p w:rsidR="009328B3" w:rsidRPr="009328B3" w:rsidRDefault="009328B3" w:rsidP="009328B3">
    <w:pPr>
      <w:spacing w:after="0" w:line="240" w:lineRule="auto"/>
      <w:jc w:val="center"/>
      <w:rPr>
        <w:rFonts w:ascii="Times New Roman" w:hAnsi="Times New Roman" w:cs="Times New Roman"/>
        <w:sz w:val="28"/>
        <w:szCs w:val="28"/>
      </w:rPr>
    </w:pPr>
    <w:r w:rsidRPr="009328B3">
      <w:rPr>
        <w:rFonts w:ascii="Times New Roman" w:hAnsi="Times New Roman" w:cs="Times New Roman"/>
        <w:sz w:val="28"/>
        <w:szCs w:val="28"/>
      </w:rPr>
      <w:t>INSTRUCTIONS AND WORKSHEETS</w:t>
    </w:r>
  </w:p>
  <w:p w:rsidR="009328B3" w:rsidRPr="00C1287B" w:rsidRDefault="009328B3" w:rsidP="00C1287B">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2A07"/>
    <w:multiLevelType w:val="hybridMultilevel"/>
    <w:tmpl w:val="44E8F2FA"/>
    <w:lvl w:ilvl="0" w:tplc="025CD824">
      <w:start w:val="1"/>
      <w:numFmt w:val="lowerLetter"/>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997B0B"/>
    <w:multiLevelType w:val="hybridMultilevel"/>
    <w:tmpl w:val="D4DC9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87B"/>
    <w:rsid w:val="00026BF8"/>
    <w:rsid w:val="000D7C62"/>
    <w:rsid w:val="001620A9"/>
    <w:rsid w:val="001A5469"/>
    <w:rsid w:val="001E6579"/>
    <w:rsid w:val="002E44D8"/>
    <w:rsid w:val="00307BED"/>
    <w:rsid w:val="003452EC"/>
    <w:rsid w:val="003630CA"/>
    <w:rsid w:val="00367344"/>
    <w:rsid w:val="004D6F9D"/>
    <w:rsid w:val="0072531C"/>
    <w:rsid w:val="009328B3"/>
    <w:rsid w:val="00934752"/>
    <w:rsid w:val="0098113C"/>
    <w:rsid w:val="009D5A0E"/>
    <w:rsid w:val="00A33DBC"/>
    <w:rsid w:val="00AE26CD"/>
    <w:rsid w:val="00B85EA9"/>
    <w:rsid w:val="00C1287B"/>
    <w:rsid w:val="00C42D0C"/>
    <w:rsid w:val="00C7599C"/>
    <w:rsid w:val="00D83B05"/>
    <w:rsid w:val="00DA34C0"/>
    <w:rsid w:val="00E143E9"/>
    <w:rsid w:val="00E6046A"/>
    <w:rsid w:val="00ED7AE4"/>
    <w:rsid w:val="00F171E3"/>
    <w:rsid w:val="00F25716"/>
    <w:rsid w:val="00FA4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389CF-523E-4CEE-9C97-A021EE90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87B"/>
  </w:style>
  <w:style w:type="paragraph" w:styleId="Footer">
    <w:name w:val="footer"/>
    <w:basedOn w:val="Normal"/>
    <w:link w:val="FooterChar"/>
    <w:uiPriority w:val="99"/>
    <w:unhideWhenUsed/>
    <w:rsid w:val="00C12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87B"/>
  </w:style>
  <w:style w:type="paragraph" w:styleId="ListParagraph">
    <w:name w:val="List Paragraph"/>
    <w:basedOn w:val="Normal"/>
    <w:uiPriority w:val="34"/>
    <w:qFormat/>
    <w:rsid w:val="00307BED"/>
    <w:pPr>
      <w:ind w:left="720"/>
      <w:contextualSpacing/>
    </w:pPr>
  </w:style>
  <w:style w:type="paragraph" w:styleId="BalloonText">
    <w:name w:val="Balloon Text"/>
    <w:basedOn w:val="Normal"/>
    <w:link w:val="BalloonTextChar"/>
    <w:uiPriority w:val="99"/>
    <w:semiHidden/>
    <w:unhideWhenUsed/>
    <w:rsid w:val="00FA4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E4A"/>
    <w:rPr>
      <w:rFonts w:ascii="Tahoma" w:hAnsi="Tahoma" w:cs="Tahoma"/>
      <w:sz w:val="16"/>
      <w:szCs w:val="16"/>
    </w:rPr>
  </w:style>
  <w:style w:type="character" w:styleId="CommentReference">
    <w:name w:val="annotation reference"/>
    <w:basedOn w:val="DefaultParagraphFont"/>
    <w:uiPriority w:val="99"/>
    <w:semiHidden/>
    <w:unhideWhenUsed/>
    <w:rsid w:val="00E143E9"/>
    <w:rPr>
      <w:sz w:val="16"/>
      <w:szCs w:val="16"/>
    </w:rPr>
  </w:style>
  <w:style w:type="paragraph" w:styleId="CommentText">
    <w:name w:val="annotation text"/>
    <w:basedOn w:val="Normal"/>
    <w:link w:val="CommentTextChar"/>
    <w:uiPriority w:val="99"/>
    <w:semiHidden/>
    <w:unhideWhenUsed/>
    <w:rsid w:val="00E143E9"/>
    <w:pPr>
      <w:spacing w:line="240" w:lineRule="auto"/>
    </w:pPr>
    <w:rPr>
      <w:sz w:val="20"/>
      <w:szCs w:val="20"/>
    </w:rPr>
  </w:style>
  <w:style w:type="character" w:customStyle="1" w:styleId="CommentTextChar">
    <w:name w:val="Comment Text Char"/>
    <w:basedOn w:val="DefaultParagraphFont"/>
    <w:link w:val="CommentText"/>
    <w:uiPriority w:val="99"/>
    <w:semiHidden/>
    <w:rsid w:val="00E143E9"/>
    <w:rPr>
      <w:sz w:val="20"/>
      <w:szCs w:val="20"/>
    </w:rPr>
  </w:style>
  <w:style w:type="paragraph" w:styleId="CommentSubject">
    <w:name w:val="annotation subject"/>
    <w:basedOn w:val="CommentText"/>
    <w:next w:val="CommentText"/>
    <w:link w:val="CommentSubjectChar"/>
    <w:uiPriority w:val="99"/>
    <w:semiHidden/>
    <w:unhideWhenUsed/>
    <w:rsid w:val="00E143E9"/>
    <w:rPr>
      <w:b/>
      <w:bCs/>
    </w:rPr>
  </w:style>
  <w:style w:type="character" w:customStyle="1" w:styleId="CommentSubjectChar">
    <w:name w:val="Comment Subject Char"/>
    <w:basedOn w:val="CommentTextChar"/>
    <w:link w:val="CommentSubject"/>
    <w:uiPriority w:val="99"/>
    <w:semiHidden/>
    <w:rsid w:val="00E143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Herring</dc:creator>
  <cp:lastModifiedBy>Herring, Jeremy</cp:lastModifiedBy>
  <cp:revision>2</cp:revision>
  <dcterms:created xsi:type="dcterms:W3CDTF">2023-10-18T14:37:00Z</dcterms:created>
  <dcterms:modified xsi:type="dcterms:W3CDTF">2023-10-18T14:37:00Z</dcterms:modified>
</cp:coreProperties>
</file>